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A35" w:rsidRPr="009D32E0" w:rsidRDefault="004C0A35" w:rsidP="00FF2AB6">
      <w:pPr>
        <w:spacing w:after="0" w:line="240" w:lineRule="auto"/>
        <w:outlineLvl w:val="1"/>
        <w:rPr>
          <w:rFonts w:ascii="Tahoma" w:eastAsia="Times New Roman" w:hAnsi="Tahoma" w:cs="Tahoma"/>
          <w:b/>
          <w:bCs/>
          <w:sz w:val="20"/>
          <w:szCs w:val="20"/>
        </w:rPr>
      </w:pPr>
      <w:r w:rsidRPr="009D32E0">
        <w:rPr>
          <w:rFonts w:ascii="Tahoma" w:eastAsia="Times New Roman" w:hAnsi="Tahoma" w:cs="Tahoma"/>
          <w:b/>
          <w:bCs/>
          <w:sz w:val="20"/>
          <w:szCs w:val="20"/>
        </w:rPr>
        <w:t>Background</w:t>
      </w:r>
    </w:p>
    <w:p w:rsidR="00516816" w:rsidRPr="00516816" w:rsidRDefault="00516816" w:rsidP="00516816">
      <w:pPr>
        <w:spacing w:after="0" w:line="240" w:lineRule="auto"/>
        <w:jc w:val="both"/>
        <w:rPr>
          <w:rFonts w:ascii="Tahoma" w:eastAsia="Times New Roman" w:hAnsi="Tahoma" w:cs="Tahoma"/>
          <w:sz w:val="8"/>
          <w:szCs w:val="8"/>
        </w:rPr>
      </w:pPr>
    </w:p>
    <w:p w:rsidR="004C0A35" w:rsidRPr="009D32E0" w:rsidRDefault="004C0A35" w:rsidP="007147C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9D32E0">
        <w:rPr>
          <w:rFonts w:ascii="Tahoma" w:eastAsia="Times New Roman" w:hAnsi="Tahoma" w:cs="Tahoma"/>
          <w:sz w:val="20"/>
          <w:szCs w:val="20"/>
        </w:rPr>
        <w:t xml:space="preserve">Senate Bill 6 of the 122nd General Assembly was enacted into law in 1997. It is designed to increase financial accountability of state colleges and universities by using a standard set of measures with which to monitor the fiscal health of campuses. Using the year-end audited financial statements submitted by each public institution, the </w:t>
      </w:r>
      <w:r w:rsidR="00DD75AD">
        <w:rPr>
          <w:rFonts w:ascii="Tahoma" w:eastAsia="Times New Roman" w:hAnsi="Tahoma" w:cs="Tahoma"/>
          <w:sz w:val="20"/>
          <w:szCs w:val="20"/>
        </w:rPr>
        <w:t>Ohio Department of Higher Education (ODHE)</w:t>
      </w:r>
      <w:r w:rsidRPr="009D32E0">
        <w:rPr>
          <w:rFonts w:ascii="Tahoma" w:eastAsia="Times New Roman" w:hAnsi="Tahoma" w:cs="Tahoma"/>
          <w:sz w:val="20"/>
          <w:szCs w:val="20"/>
        </w:rPr>
        <w:t xml:space="preserve"> annually applies these standards to monitor individual campus finances. In addition, Senate Bill 6 requires state colleges and universities to submit quarterly financial reports to the </w:t>
      </w:r>
      <w:r w:rsidR="00DD75AD">
        <w:rPr>
          <w:rFonts w:ascii="Tahoma" w:eastAsia="Times New Roman" w:hAnsi="Tahoma" w:cs="Tahoma"/>
          <w:sz w:val="20"/>
          <w:szCs w:val="20"/>
        </w:rPr>
        <w:t>ODHE</w:t>
      </w:r>
      <w:r w:rsidRPr="009D32E0">
        <w:rPr>
          <w:rFonts w:ascii="Tahoma" w:eastAsia="Times New Roman" w:hAnsi="Tahoma" w:cs="Tahoma"/>
          <w:sz w:val="20"/>
          <w:szCs w:val="20"/>
        </w:rPr>
        <w:t xml:space="preserve"> within 30 days after the end of each fiscal quarter.</w:t>
      </w:r>
    </w:p>
    <w:p w:rsidR="009D32E0" w:rsidRPr="00516816" w:rsidRDefault="009D32E0" w:rsidP="009D32E0">
      <w:pPr>
        <w:spacing w:after="0" w:line="240" w:lineRule="auto"/>
        <w:jc w:val="both"/>
        <w:rPr>
          <w:rFonts w:ascii="Tahoma" w:eastAsia="Times New Roman" w:hAnsi="Tahoma" w:cs="Tahoma"/>
          <w:sz w:val="8"/>
          <w:szCs w:val="8"/>
        </w:rPr>
      </w:pPr>
    </w:p>
    <w:p w:rsidR="004C0A35" w:rsidRPr="009D32E0" w:rsidRDefault="004C0A35" w:rsidP="00FF2AB6">
      <w:pPr>
        <w:spacing w:after="0" w:line="240" w:lineRule="auto"/>
        <w:outlineLvl w:val="1"/>
        <w:rPr>
          <w:rFonts w:ascii="Tahoma" w:eastAsia="Times New Roman" w:hAnsi="Tahoma" w:cs="Tahoma"/>
          <w:b/>
          <w:bCs/>
          <w:sz w:val="20"/>
          <w:szCs w:val="20"/>
        </w:rPr>
      </w:pPr>
      <w:r w:rsidRPr="009D32E0">
        <w:rPr>
          <w:rFonts w:ascii="Tahoma" w:eastAsia="Times New Roman" w:hAnsi="Tahoma" w:cs="Tahoma"/>
          <w:b/>
          <w:bCs/>
          <w:sz w:val="20"/>
          <w:szCs w:val="20"/>
        </w:rPr>
        <w:t>Ratio Analysis Methodology</w:t>
      </w:r>
    </w:p>
    <w:p w:rsidR="00516816" w:rsidRPr="00516816" w:rsidRDefault="00516816" w:rsidP="00516816">
      <w:pPr>
        <w:spacing w:after="0" w:line="240" w:lineRule="auto"/>
        <w:jc w:val="both"/>
        <w:rPr>
          <w:rFonts w:ascii="Tahoma" w:eastAsia="Times New Roman" w:hAnsi="Tahoma" w:cs="Tahoma"/>
          <w:sz w:val="8"/>
          <w:szCs w:val="8"/>
        </w:rPr>
      </w:pPr>
    </w:p>
    <w:p w:rsidR="00DD75AD" w:rsidRDefault="004C0A35" w:rsidP="00DD75AD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9D32E0">
        <w:rPr>
          <w:rFonts w:ascii="Tahoma" w:eastAsia="Times New Roman" w:hAnsi="Tahoma" w:cs="Tahoma"/>
          <w:sz w:val="20"/>
          <w:szCs w:val="20"/>
        </w:rPr>
        <w:t xml:space="preserve">In order to meet the legislative intent of Senate Bill 6, the </w:t>
      </w:r>
      <w:r w:rsidR="00DD75AD">
        <w:rPr>
          <w:rFonts w:ascii="Tahoma" w:eastAsia="Times New Roman" w:hAnsi="Tahoma" w:cs="Tahoma"/>
          <w:sz w:val="20"/>
          <w:szCs w:val="20"/>
        </w:rPr>
        <w:t>ODHE</w:t>
      </w:r>
      <w:r w:rsidRPr="009D32E0">
        <w:rPr>
          <w:rFonts w:ascii="Tahoma" w:eastAsia="Times New Roman" w:hAnsi="Tahoma" w:cs="Tahoma"/>
          <w:sz w:val="20"/>
          <w:szCs w:val="20"/>
        </w:rPr>
        <w:t xml:space="preserve"> computes three ratios from which four scores are generated. The data and methodology used to conduct the ratio analysis </w:t>
      </w:r>
      <w:r w:rsidR="00FA7769" w:rsidRPr="009D32E0">
        <w:rPr>
          <w:rFonts w:ascii="Tahoma" w:eastAsia="Times New Roman" w:hAnsi="Tahoma" w:cs="Tahoma"/>
          <w:sz w:val="20"/>
          <w:szCs w:val="20"/>
        </w:rPr>
        <w:t xml:space="preserve">along with The University’s figures </w:t>
      </w:r>
      <w:r w:rsidRPr="009D32E0">
        <w:rPr>
          <w:rFonts w:ascii="Tahoma" w:eastAsia="Times New Roman" w:hAnsi="Tahoma" w:cs="Tahoma"/>
          <w:sz w:val="20"/>
          <w:szCs w:val="20"/>
        </w:rPr>
        <w:t>are as follows:</w:t>
      </w:r>
      <w:bookmarkStart w:id="0" w:name="_MON_1387341987"/>
      <w:bookmarkStart w:id="1" w:name="_MON_1387342006"/>
      <w:bookmarkStart w:id="2" w:name="_MON_1387341668"/>
      <w:bookmarkStart w:id="3" w:name="_MON_1387341778"/>
      <w:bookmarkStart w:id="4" w:name="_MON_1387341794"/>
      <w:bookmarkStart w:id="5" w:name="_MON_1387341812"/>
      <w:bookmarkEnd w:id="0"/>
      <w:bookmarkEnd w:id="1"/>
      <w:bookmarkEnd w:id="2"/>
      <w:bookmarkEnd w:id="3"/>
      <w:bookmarkEnd w:id="4"/>
      <w:bookmarkEnd w:id="5"/>
    </w:p>
    <w:p w:rsidR="00DD75AD" w:rsidRDefault="00DD75AD" w:rsidP="00DD75AD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</w:p>
    <w:bookmarkStart w:id="6" w:name="_MON_1387341928"/>
    <w:bookmarkEnd w:id="6"/>
    <w:p w:rsidR="00F67162" w:rsidRDefault="00262B4A" w:rsidP="00DD75AD">
      <w:pPr>
        <w:spacing w:after="0" w:line="240" w:lineRule="auto"/>
        <w:jc w:val="both"/>
        <w:rPr>
          <w:rFonts w:ascii="Tahoma" w:eastAsia="Times New Roman" w:hAnsi="Tahoma" w:cs="Tahoma"/>
          <w:sz w:val="12"/>
          <w:szCs w:val="12"/>
        </w:rPr>
      </w:pPr>
      <w:r w:rsidRPr="009D32E0">
        <w:rPr>
          <w:rFonts w:ascii="Tahoma" w:eastAsia="Times New Roman" w:hAnsi="Tahoma" w:cs="Tahoma"/>
          <w:sz w:val="20"/>
          <w:szCs w:val="20"/>
        </w:rPr>
        <w:object w:dxaOrig="10937" w:dyaOrig="5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540pt;height:281.4pt" o:ole="">
            <v:imagedata r:id="rId7" o:title=""/>
          </v:shape>
          <o:OLEObject Type="Embed" ProgID="Excel.Sheet.12" ShapeID="_x0000_i1031" DrawAspect="Content" ObjectID="_1632632163" r:id="rId8"/>
        </w:object>
      </w:r>
      <w:r w:rsidR="00F67162" w:rsidRPr="00F67162">
        <w:rPr>
          <w:rFonts w:ascii="Tahoma" w:eastAsia="Times New Roman" w:hAnsi="Tahoma" w:cs="Tahoma"/>
          <w:sz w:val="12"/>
          <w:szCs w:val="12"/>
        </w:rPr>
        <w:t xml:space="preserve"> </w:t>
      </w:r>
    </w:p>
    <w:p w:rsidR="00EF0C5B" w:rsidRDefault="00EF0C5B" w:rsidP="00EF0C5B">
      <w:pPr>
        <w:spacing w:after="0" w:line="240" w:lineRule="auto"/>
        <w:jc w:val="both"/>
        <w:rPr>
          <w:rFonts w:ascii="Tahoma" w:eastAsia="Times New Roman" w:hAnsi="Tahoma" w:cs="Tahoma"/>
          <w:sz w:val="12"/>
          <w:szCs w:val="12"/>
        </w:rPr>
      </w:pPr>
    </w:p>
    <w:p w:rsidR="00EF0C5B" w:rsidRDefault="00EF0C5B" w:rsidP="00EF0C5B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</w:rPr>
      </w:pPr>
      <w:r>
        <w:rPr>
          <w:rFonts w:ascii="Tahoma" w:eastAsia="Times New Roman" w:hAnsi="Tahoma" w:cs="Tahoma"/>
          <w:sz w:val="16"/>
          <w:szCs w:val="16"/>
        </w:rPr>
        <w:t xml:space="preserve">* </w:t>
      </w:r>
      <w:r w:rsidRPr="00516816">
        <w:rPr>
          <w:rFonts w:ascii="Tahoma" w:eastAsia="Times New Roman" w:hAnsi="Tahoma" w:cs="Tahoma"/>
          <w:sz w:val="16"/>
          <w:szCs w:val="16"/>
        </w:rPr>
        <w:t>Fiscal year 201</w:t>
      </w:r>
      <w:r w:rsidR="00262B4A">
        <w:rPr>
          <w:rFonts w:ascii="Tahoma" w:eastAsia="Times New Roman" w:hAnsi="Tahoma" w:cs="Tahoma"/>
          <w:sz w:val="16"/>
          <w:szCs w:val="16"/>
        </w:rPr>
        <w:t>9</w:t>
      </w:r>
      <w:r w:rsidRPr="00516816">
        <w:rPr>
          <w:rFonts w:ascii="Tahoma" w:eastAsia="Times New Roman" w:hAnsi="Tahoma" w:cs="Tahoma"/>
          <w:sz w:val="16"/>
          <w:szCs w:val="16"/>
        </w:rPr>
        <w:t xml:space="preserve"> </w:t>
      </w:r>
      <w:r>
        <w:rPr>
          <w:rFonts w:ascii="Tahoma" w:eastAsia="Times New Roman" w:hAnsi="Tahoma" w:cs="Tahoma"/>
          <w:sz w:val="16"/>
          <w:szCs w:val="16"/>
        </w:rPr>
        <w:t>is</w:t>
      </w:r>
      <w:r w:rsidRPr="00516816">
        <w:rPr>
          <w:rFonts w:ascii="Tahoma" w:eastAsia="Times New Roman" w:hAnsi="Tahoma" w:cs="Tahoma"/>
          <w:sz w:val="16"/>
          <w:szCs w:val="16"/>
        </w:rPr>
        <w:t xml:space="preserve"> not final until certified by the </w:t>
      </w:r>
      <w:r w:rsidR="00DD75AD">
        <w:rPr>
          <w:rFonts w:ascii="Tahoma" w:eastAsia="Times New Roman" w:hAnsi="Tahoma" w:cs="Tahoma"/>
          <w:sz w:val="16"/>
          <w:szCs w:val="16"/>
        </w:rPr>
        <w:t>Ohio Department of Higher Education</w:t>
      </w:r>
      <w:r w:rsidRPr="00516816">
        <w:rPr>
          <w:rFonts w:ascii="Tahoma" w:eastAsia="Times New Roman" w:hAnsi="Tahoma" w:cs="Tahoma"/>
          <w:sz w:val="16"/>
          <w:szCs w:val="16"/>
        </w:rPr>
        <w:t xml:space="preserve"> in early </w:t>
      </w:r>
      <w:r>
        <w:rPr>
          <w:rFonts w:ascii="Tahoma" w:eastAsia="Times New Roman" w:hAnsi="Tahoma" w:cs="Tahoma"/>
          <w:sz w:val="16"/>
          <w:szCs w:val="16"/>
        </w:rPr>
        <w:t xml:space="preserve">calendar </w:t>
      </w:r>
      <w:r w:rsidR="00262B4A">
        <w:rPr>
          <w:rFonts w:ascii="Tahoma" w:eastAsia="Times New Roman" w:hAnsi="Tahoma" w:cs="Tahoma"/>
          <w:sz w:val="16"/>
          <w:szCs w:val="16"/>
        </w:rPr>
        <w:t>2020</w:t>
      </w:r>
      <w:r>
        <w:rPr>
          <w:rFonts w:ascii="Tahoma" w:eastAsia="Times New Roman" w:hAnsi="Tahoma" w:cs="Tahoma"/>
          <w:sz w:val="16"/>
          <w:szCs w:val="16"/>
        </w:rPr>
        <w:t>.</w:t>
      </w:r>
    </w:p>
    <w:p w:rsidR="00EF0C5B" w:rsidRPr="00516816" w:rsidRDefault="00EF0C5B" w:rsidP="00EF0C5B">
      <w:pPr>
        <w:spacing w:after="0" w:line="240" w:lineRule="auto"/>
        <w:jc w:val="both"/>
        <w:rPr>
          <w:rFonts w:ascii="Tahoma" w:eastAsia="Times New Roman" w:hAnsi="Tahoma" w:cs="Tahoma"/>
          <w:sz w:val="8"/>
          <w:szCs w:val="8"/>
        </w:rPr>
      </w:pPr>
    </w:p>
    <w:p w:rsidR="004C0A35" w:rsidRPr="009D32E0" w:rsidRDefault="004C0A35" w:rsidP="0022340F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9D32E0">
        <w:rPr>
          <w:rFonts w:ascii="Tahoma" w:eastAsia="Times New Roman" w:hAnsi="Tahoma" w:cs="Tahoma"/>
          <w:sz w:val="20"/>
          <w:szCs w:val="20"/>
        </w:rPr>
        <w:t xml:space="preserve">The methodology for calculating the three ratios </w:t>
      </w:r>
      <w:r w:rsidR="00162AE4">
        <w:rPr>
          <w:rFonts w:ascii="Tahoma" w:eastAsia="Times New Roman" w:hAnsi="Tahoma" w:cs="Tahoma"/>
          <w:sz w:val="20"/>
          <w:szCs w:val="20"/>
        </w:rPr>
        <w:t xml:space="preserve">and </w:t>
      </w:r>
      <w:r w:rsidR="00354F6B">
        <w:rPr>
          <w:rFonts w:ascii="Tahoma" w:eastAsia="Times New Roman" w:hAnsi="Tahoma" w:cs="Tahoma"/>
          <w:sz w:val="20"/>
          <w:szCs w:val="20"/>
        </w:rPr>
        <w:t xml:space="preserve">the </w:t>
      </w:r>
      <w:r w:rsidR="00162AE4">
        <w:rPr>
          <w:rFonts w:ascii="Tahoma" w:eastAsia="Times New Roman" w:hAnsi="Tahoma" w:cs="Tahoma"/>
          <w:sz w:val="20"/>
          <w:szCs w:val="20"/>
        </w:rPr>
        <w:t xml:space="preserve">composite score </w:t>
      </w:r>
      <w:r w:rsidRPr="009D32E0">
        <w:rPr>
          <w:rFonts w:ascii="Tahoma" w:eastAsia="Times New Roman" w:hAnsi="Tahoma" w:cs="Tahoma"/>
          <w:sz w:val="20"/>
          <w:szCs w:val="20"/>
        </w:rPr>
        <w:t>is as follows:</w:t>
      </w:r>
    </w:p>
    <w:p w:rsidR="004C0A35" w:rsidRPr="009D32E0" w:rsidRDefault="004C0A35" w:rsidP="00FF2AB6">
      <w:pPr>
        <w:numPr>
          <w:ilvl w:val="0"/>
          <w:numId w:val="2"/>
        </w:num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9D32E0">
        <w:rPr>
          <w:rFonts w:ascii="Tahoma" w:eastAsia="Times New Roman" w:hAnsi="Tahoma" w:cs="Tahoma"/>
          <w:sz w:val="20"/>
          <w:szCs w:val="20"/>
        </w:rPr>
        <w:t>Viability ratio: Expendable ne</w:t>
      </w:r>
      <w:r w:rsidR="009D32E0">
        <w:rPr>
          <w:rFonts w:ascii="Tahoma" w:eastAsia="Times New Roman" w:hAnsi="Tahoma" w:cs="Tahoma"/>
          <w:sz w:val="20"/>
          <w:szCs w:val="20"/>
        </w:rPr>
        <w:t>t assets divided by plant debt.</w:t>
      </w:r>
    </w:p>
    <w:p w:rsidR="004C0A35" w:rsidRPr="009D32E0" w:rsidRDefault="004C0A35" w:rsidP="00FF2AB6">
      <w:pPr>
        <w:numPr>
          <w:ilvl w:val="0"/>
          <w:numId w:val="2"/>
        </w:num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9D32E0">
        <w:rPr>
          <w:rFonts w:ascii="Tahoma" w:eastAsia="Times New Roman" w:hAnsi="Tahoma" w:cs="Tahoma"/>
          <w:sz w:val="20"/>
          <w:szCs w:val="20"/>
        </w:rPr>
        <w:t xml:space="preserve">Primary </w:t>
      </w:r>
      <w:r w:rsidR="0022340F">
        <w:rPr>
          <w:rFonts w:ascii="Tahoma" w:eastAsia="Times New Roman" w:hAnsi="Tahoma" w:cs="Tahoma"/>
          <w:sz w:val="20"/>
          <w:szCs w:val="20"/>
        </w:rPr>
        <w:t>R</w:t>
      </w:r>
      <w:r w:rsidRPr="009D32E0">
        <w:rPr>
          <w:rFonts w:ascii="Tahoma" w:eastAsia="Times New Roman" w:hAnsi="Tahoma" w:cs="Tahoma"/>
          <w:sz w:val="20"/>
          <w:szCs w:val="20"/>
        </w:rPr>
        <w:t>eserve ratio: Expendable net assets divided by total operating expenses.</w:t>
      </w:r>
    </w:p>
    <w:p w:rsidR="004C0A35" w:rsidRDefault="00162AE4" w:rsidP="00FF2AB6">
      <w:pPr>
        <w:numPr>
          <w:ilvl w:val="0"/>
          <w:numId w:val="2"/>
        </w:num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Net Income r</w:t>
      </w:r>
      <w:r w:rsidR="004C0A35" w:rsidRPr="009D32E0">
        <w:rPr>
          <w:rFonts w:ascii="Tahoma" w:eastAsia="Times New Roman" w:hAnsi="Tahoma" w:cs="Tahoma"/>
          <w:sz w:val="20"/>
          <w:szCs w:val="20"/>
        </w:rPr>
        <w:t>atio: Change in total net assets divided by total revenues.</w:t>
      </w:r>
    </w:p>
    <w:p w:rsidR="00162AE4" w:rsidRPr="009D32E0" w:rsidRDefault="00162AE4" w:rsidP="00FF2AB6">
      <w:pPr>
        <w:numPr>
          <w:ilvl w:val="0"/>
          <w:numId w:val="2"/>
        </w:num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Composite Score: A weighted summary score of all three ratios. This is the </w:t>
      </w:r>
      <w:r w:rsidRPr="009D32E0">
        <w:rPr>
          <w:rFonts w:ascii="Tahoma" w:eastAsia="Times New Roman" w:hAnsi="Tahoma" w:cs="Tahoma"/>
          <w:sz w:val="20"/>
          <w:szCs w:val="20"/>
        </w:rPr>
        <w:t>primary indicator of fiscal health.</w:t>
      </w:r>
    </w:p>
    <w:p w:rsidR="00F43503" w:rsidRPr="00F43503" w:rsidRDefault="00F43503" w:rsidP="00F43503">
      <w:pPr>
        <w:pStyle w:val="ListParagraph"/>
        <w:spacing w:after="0" w:line="240" w:lineRule="auto"/>
        <w:jc w:val="both"/>
        <w:rPr>
          <w:rFonts w:ascii="Tahoma" w:eastAsia="Times New Roman" w:hAnsi="Tahoma" w:cs="Tahoma"/>
          <w:sz w:val="12"/>
          <w:szCs w:val="12"/>
        </w:rPr>
      </w:pPr>
      <w:bookmarkStart w:id="7" w:name="Scores"/>
      <w:bookmarkEnd w:id="7"/>
    </w:p>
    <w:p w:rsidR="004C0A35" w:rsidRPr="009D32E0" w:rsidRDefault="004C0A35" w:rsidP="00FF2AB6">
      <w:pPr>
        <w:spacing w:after="0" w:line="240" w:lineRule="auto"/>
        <w:outlineLvl w:val="2"/>
        <w:rPr>
          <w:rFonts w:ascii="Tahoma" w:eastAsia="Times New Roman" w:hAnsi="Tahoma" w:cs="Tahoma"/>
          <w:b/>
          <w:bCs/>
          <w:sz w:val="20"/>
          <w:szCs w:val="20"/>
        </w:rPr>
      </w:pPr>
      <w:r w:rsidRPr="009D32E0">
        <w:rPr>
          <w:rFonts w:ascii="Tahoma" w:eastAsia="Times New Roman" w:hAnsi="Tahoma" w:cs="Tahoma"/>
          <w:b/>
          <w:bCs/>
          <w:sz w:val="20"/>
          <w:szCs w:val="20"/>
        </w:rPr>
        <w:t>Assignment of Scores</w:t>
      </w:r>
    </w:p>
    <w:p w:rsidR="00516816" w:rsidRPr="00516816" w:rsidRDefault="00516816" w:rsidP="00516816">
      <w:pPr>
        <w:spacing w:after="0" w:line="240" w:lineRule="auto"/>
        <w:jc w:val="both"/>
        <w:rPr>
          <w:rFonts w:ascii="Tahoma" w:eastAsia="Times New Roman" w:hAnsi="Tahoma" w:cs="Tahoma"/>
          <w:sz w:val="8"/>
          <w:szCs w:val="8"/>
        </w:rPr>
      </w:pPr>
    </w:p>
    <w:p w:rsidR="00F43503" w:rsidRPr="009D32E0" w:rsidRDefault="00162AE4" w:rsidP="00F43503">
      <w:pPr>
        <w:spacing w:after="0" w:line="240" w:lineRule="auto"/>
        <w:jc w:val="both"/>
        <w:rPr>
          <w:rFonts w:ascii="Tahoma" w:eastAsia="Times New Roman" w:hAnsi="Tahoma" w:cs="Tahoma"/>
          <w:sz w:val="12"/>
          <w:szCs w:val="12"/>
        </w:rPr>
      </w:pPr>
      <w:r>
        <w:rPr>
          <w:rFonts w:ascii="Tahoma" w:eastAsia="Times New Roman" w:hAnsi="Tahoma" w:cs="Tahoma"/>
          <w:sz w:val="20"/>
          <w:szCs w:val="20"/>
        </w:rPr>
        <w:t>B</w:t>
      </w:r>
      <w:r w:rsidR="004C0A35" w:rsidRPr="009D32E0">
        <w:rPr>
          <w:rFonts w:ascii="Tahoma" w:eastAsia="Times New Roman" w:hAnsi="Tahoma" w:cs="Tahoma"/>
          <w:sz w:val="20"/>
          <w:szCs w:val="20"/>
        </w:rPr>
        <w:t>ased on the calculations described above, each ratio is assigned a score ranging from zero to five according to the criteria listed in the table below. A score of 5 indicates the highest degree of fiscal strength in each category.</w:t>
      </w:r>
    </w:p>
    <w:p w:rsidR="00516816" w:rsidRPr="00516816" w:rsidRDefault="0022340F" w:rsidP="00516816">
      <w:pPr>
        <w:spacing w:after="0" w:line="240" w:lineRule="auto"/>
        <w:jc w:val="both"/>
        <w:rPr>
          <w:rFonts w:ascii="Tahoma" w:eastAsia="Times New Roman" w:hAnsi="Tahoma" w:cs="Tahoma"/>
          <w:sz w:val="8"/>
          <w:szCs w:val="8"/>
        </w:rPr>
      </w:pPr>
      <w:r w:rsidRPr="00645551">
        <w:rPr>
          <w:rFonts w:ascii="Tahoma" w:eastAsia="Times New Roman" w:hAnsi="Tahoma" w:cs="Tahoma"/>
          <w:sz w:val="20"/>
          <w:szCs w:val="20"/>
        </w:rPr>
        <w:object w:dxaOrig="11569" w:dyaOrig="1604">
          <v:shape id="_x0000_i1026" type="#_x0000_t75" style="width:541.8pt;height:80.4pt" o:ole="">
            <v:imagedata r:id="rId9" o:title=""/>
          </v:shape>
          <o:OLEObject Type="Embed" ProgID="Excel.Sheet.12" ShapeID="_x0000_i1026" DrawAspect="Content" ObjectID="_1632632164" r:id="rId10"/>
        </w:object>
      </w:r>
    </w:p>
    <w:p w:rsidR="00F560E4" w:rsidRPr="00DD75AD" w:rsidRDefault="004C0A35" w:rsidP="008143D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9D32E0">
        <w:rPr>
          <w:rFonts w:ascii="Tahoma" w:eastAsia="Times New Roman" w:hAnsi="Tahoma" w:cs="Tahoma"/>
          <w:sz w:val="20"/>
          <w:szCs w:val="20"/>
        </w:rPr>
        <w:t>NOTE: A composite score of or below 1.75 for two consecutive years would result in an institution being placed on fiscal watch. The highest composite score possible is 5.00.</w:t>
      </w:r>
    </w:p>
    <w:tbl>
      <w:tblPr>
        <w:tblStyle w:val="TableGrid"/>
        <w:tblW w:w="104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08"/>
        <w:gridCol w:w="108"/>
        <w:gridCol w:w="3024"/>
      </w:tblGrid>
      <w:tr w:rsidR="00476A0E" w:rsidTr="00E86EFB">
        <w:trPr>
          <w:jc w:val="center"/>
        </w:trPr>
        <w:tc>
          <w:tcPr>
            <w:tcW w:w="7308" w:type="dxa"/>
            <w:tcBorders>
              <w:top w:val="single" w:sz="36" w:space="0" w:color="00285E"/>
              <w:bottom w:val="single" w:sz="36" w:space="0" w:color="00285E"/>
            </w:tcBorders>
          </w:tcPr>
          <w:p w:rsidR="00476A0E" w:rsidRDefault="00476A0E" w:rsidP="00994E26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noProof/>
                <w:sz w:val="20"/>
                <w:szCs w:val="20"/>
              </w:rPr>
              <w:lastRenderedPageBreak/>
              <w:drawing>
                <wp:inline distT="0" distB="0" distL="0" distR="0">
                  <wp:extent cx="4572000" cy="2560320"/>
                  <wp:effectExtent l="0" t="0" r="0" b="0"/>
                  <wp:docPr id="1" name="Chart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  <w:tc>
          <w:tcPr>
            <w:tcW w:w="108" w:type="dxa"/>
          </w:tcPr>
          <w:p w:rsidR="00476A0E" w:rsidRDefault="00476A0E" w:rsidP="00994E26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024" w:type="dxa"/>
            <w:tcBorders>
              <w:top w:val="single" w:sz="36" w:space="0" w:color="FFD200"/>
              <w:bottom w:val="single" w:sz="36" w:space="0" w:color="FFD200"/>
            </w:tcBorders>
          </w:tcPr>
          <w:p w:rsidR="00476A0E" w:rsidRDefault="00476A0E" w:rsidP="00994E26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  <w:p w:rsidR="00476A0E" w:rsidRPr="00B74DC1" w:rsidRDefault="00476A0E" w:rsidP="00994E26">
            <w:pPr>
              <w:jc w:val="center"/>
              <w:rPr>
                <w:rFonts w:ascii="Tahoma" w:eastAsia="Times New Roman" w:hAnsi="Tahoma" w:cs="Tahoma"/>
                <w:b/>
                <w:sz w:val="28"/>
                <w:szCs w:val="28"/>
              </w:rPr>
            </w:pPr>
            <w:r w:rsidRPr="00B74DC1">
              <w:rPr>
                <w:rFonts w:ascii="Tahoma" w:eastAsia="Times New Roman" w:hAnsi="Tahoma" w:cs="Tahoma"/>
                <w:b/>
                <w:sz w:val="28"/>
                <w:szCs w:val="28"/>
              </w:rPr>
              <w:t>Composite Score</w:t>
            </w:r>
          </w:p>
          <w:p w:rsidR="00687EEA" w:rsidRPr="00B74DC1" w:rsidRDefault="00687EEA" w:rsidP="00994E26">
            <w:pPr>
              <w:jc w:val="center"/>
              <w:rPr>
                <w:rFonts w:ascii="Tahoma" w:eastAsia="Times New Roman" w:hAnsi="Tahoma" w:cs="Tahoma"/>
                <w:b/>
                <w:sz w:val="28"/>
                <w:szCs w:val="28"/>
              </w:rPr>
            </w:pPr>
          </w:p>
          <w:p w:rsidR="00687EEA" w:rsidRPr="00687EEA" w:rsidRDefault="00516816" w:rsidP="00994E26">
            <w:pPr>
              <w:jc w:val="center"/>
              <w:rPr>
                <w:rFonts w:ascii="Tahoma" w:eastAsia="Times New Roman" w:hAnsi="Tahoma" w:cs="Tahoma"/>
                <w:b/>
                <w:sz w:val="32"/>
                <w:szCs w:val="32"/>
              </w:rPr>
            </w:pPr>
            <w:r>
              <w:rPr>
                <w:rFonts w:ascii="Tahoma" w:eastAsia="Times New Roman" w:hAnsi="Tahoma" w:cs="Tahoma"/>
                <w:b/>
                <w:sz w:val="28"/>
                <w:szCs w:val="28"/>
              </w:rPr>
              <w:t xml:space="preserve">Fiscal Year </w:t>
            </w:r>
            <w:r w:rsidR="00687EEA" w:rsidRPr="00B74DC1">
              <w:rPr>
                <w:rFonts w:ascii="Tahoma" w:eastAsia="Times New Roman" w:hAnsi="Tahoma" w:cs="Tahoma"/>
                <w:b/>
                <w:sz w:val="28"/>
                <w:szCs w:val="28"/>
              </w:rPr>
              <w:t>201</w:t>
            </w:r>
            <w:r w:rsidR="00262B4A">
              <w:rPr>
                <w:rFonts w:ascii="Tahoma" w:eastAsia="Times New Roman" w:hAnsi="Tahoma" w:cs="Tahoma"/>
                <w:b/>
                <w:sz w:val="28"/>
                <w:szCs w:val="28"/>
              </w:rPr>
              <w:t>9</w:t>
            </w:r>
          </w:p>
          <w:p w:rsidR="00687EEA" w:rsidRDefault="00687EEA" w:rsidP="00994E26">
            <w:pPr>
              <w:jc w:val="center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</w:p>
          <w:p w:rsidR="00687EEA" w:rsidRDefault="00687EEA" w:rsidP="00994E26">
            <w:pPr>
              <w:jc w:val="center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</w:p>
          <w:p w:rsidR="00687EEA" w:rsidRDefault="00687EEA" w:rsidP="00994E26">
            <w:pPr>
              <w:jc w:val="center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</w:p>
          <w:p w:rsidR="00687EEA" w:rsidRPr="001C784B" w:rsidRDefault="00262B4A" w:rsidP="00994E26">
            <w:pPr>
              <w:jc w:val="center"/>
              <w:rPr>
                <w:rFonts w:ascii="Tahoma" w:eastAsia="Times New Roman" w:hAnsi="Tahoma" w:cs="Tahoma"/>
                <w:b/>
                <w:sz w:val="72"/>
                <w:szCs w:val="72"/>
              </w:rPr>
            </w:pPr>
            <w:r>
              <w:rPr>
                <w:rFonts w:ascii="Tahoma" w:eastAsia="Times New Roman" w:hAnsi="Tahoma" w:cs="Tahoma"/>
                <w:b/>
                <w:sz w:val="72"/>
                <w:szCs w:val="72"/>
              </w:rPr>
              <w:t>2.8</w:t>
            </w:r>
          </w:p>
          <w:p w:rsidR="00476A0E" w:rsidRDefault="00476A0E" w:rsidP="00994E26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  <w:p w:rsidR="00476A0E" w:rsidRDefault="00476A0E" w:rsidP="00994E26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CB4479" w:rsidTr="00476A0E">
        <w:trPr>
          <w:jc w:val="center"/>
        </w:trPr>
        <w:tc>
          <w:tcPr>
            <w:tcW w:w="7308" w:type="dxa"/>
            <w:tcBorders>
              <w:top w:val="single" w:sz="36" w:space="0" w:color="00285E"/>
              <w:bottom w:val="single" w:sz="36" w:space="0" w:color="00285E"/>
            </w:tcBorders>
          </w:tcPr>
          <w:p w:rsidR="00476A0E" w:rsidRDefault="00CB4479" w:rsidP="00994E26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noProof/>
                <w:sz w:val="20"/>
                <w:szCs w:val="20"/>
              </w:rPr>
              <w:drawing>
                <wp:inline distT="0" distB="0" distL="0" distR="0">
                  <wp:extent cx="4572000" cy="1828800"/>
                  <wp:effectExtent l="0" t="0" r="0" b="0"/>
                  <wp:docPr id="2" name="Chart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  <w:tc>
          <w:tcPr>
            <w:tcW w:w="108" w:type="dxa"/>
          </w:tcPr>
          <w:p w:rsidR="00476A0E" w:rsidRDefault="00476A0E" w:rsidP="00994E26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024" w:type="dxa"/>
            <w:tcBorders>
              <w:top w:val="single" w:sz="36" w:space="0" w:color="FFD200"/>
              <w:bottom w:val="single" w:sz="36" w:space="0" w:color="FFD200"/>
            </w:tcBorders>
          </w:tcPr>
          <w:p w:rsidR="00476A0E" w:rsidRDefault="00476A0E" w:rsidP="00994E26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  <w:p w:rsidR="00476A0E" w:rsidRPr="003A5C53" w:rsidRDefault="00476A0E" w:rsidP="00994E26">
            <w:pPr>
              <w:jc w:val="center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3A5C53">
              <w:rPr>
                <w:rFonts w:ascii="Tahoma" w:eastAsia="Times New Roman" w:hAnsi="Tahoma" w:cs="Tahoma"/>
                <w:b/>
                <w:sz w:val="24"/>
                <w:szCs w:val="24"/>
              </w:rPr>
              <w:t>Viability Ratio</w:t>
            </w:r>
          </w:p>
          <w:p w:rsidR="00476A0E" w:rsidRDefault="00476A0E" w:rsidP="00994E26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  <w:p w:rsidR="00476A0E" w:rsidRDefault="00476A0E" w:rsidP="00C92C25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The Viability Ratio measures the availability of expendable net assets to cover debt should The University need to settle its obligations as of the balance sheet date.</w:t>
            </w:r>
          </w:p>
        </w:tc>
      </w:tr>
      <w:tr w:rsidR="00476A0E" w:rsidTr="00476A0E">
        <w:trPr>
          <w:jc w:val="center"/>
        </w:trPr>
        <w:tc>
          <w:tcPr>
            <w:tcW w:w="7308" w:type="dxa"/>
            <w:tcBorders>
              <w:top w:val="single" w:sz="36" w:space="0" w:color="00285E"/>
              <w:bottom w:val="single" w:sz="36" w:space="0" w:color="00285E"/>
            </w:tcBorders>
          </w:tcPr>
          <w:p w:rsidR="00476A0E" w:rsidRDefault="00A775B2" w:rsidP="00994E26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A775B2">
              <w:rPr>
                <w:rFonts w:ascii="Tahoma" w:eastAsia="Times New Roman" w:hAnsi="Tahoma" w:cs="Tahoma"/>
                <w:noProof/>
                <w:sz w:val="20"/>
                <w:szCs w:val="20"/>
              </w:rPr>
              <w:drawing>
                <wp:inline distT="0" distB="0" distL="0" distR="0">
                  <wp:extent cx="4572000" cy="1828800"/>
                  <wp:effectExtent l="0" t="0" r="0" b="0"/>
                  <wp:docPr id="3" name="Chart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</w:tc>
        <w:tc>
          <w:tcPr>
            <w:tcW w:w="108" w:type="dxa"/>
          </w:tcPr>
          <w:p w:rsidR="00476A0E" w:rsidRDefault="00476A0E" w:rsidP="00994E26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024" w:type="dxa"/>
            <w:tcBorders>
              <w:top w:val="single" w:sz="36" w:space="0" w:color="FFD200"/>
              <w:bottom w:val="single" w:sz="36" w:space="0" w:color="FFD200"/>
            </w:tcBorders>
          </w:tcPr>
          <w:p w:rsidR="00476A0E" w:rsidRDefault="00476A0E" w:rsidP="00994E26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  <w:p w:rsidR="00476A0E" w:rsidRPr="003A5C53" w:rsidRDefault="00476A0E" w:rsidP="00994E26">
            <w:pPr>
              <w:jc w:val="center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sz w:val="24"/>
                <w:szCs w:val="24"/>
              </w:rPr>
              <w:t>Primary Reserve</w:t>
            </w:r>
            <w:r w:rsidRPr="003A5C53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 Ratio</w:t>
            </w:r>
          </w:p>
          <w:p w:rsidR="00476A0E" w:rsidRDefault="00476A0E" w:rsidP="00994E26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  <w:p w:rsidR="00476A0E" w:rsidRDefault="00476A0E" w:rsidP="00994E26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The Primary Reserve Ratio measures the financial strength of The University by indicating how long the institution could function using the expendable reserves without relying on additional net assets ge</w:t>
            </w:r>
            <w:bookmarkStart w:id="8" w:name="_GoBack"/>
            <w:bookmarkEnd w:id="8"/>
            <w:r>
              <w:rPr>
                <w:rFonts w:ascii="Tahoma" w:eastAsia="Times New Roman" w:hAnsi="Tahoma" w:cs="Tahoma"/>
                <w:sz w:val="20"/>
                <w:szCs w:val="20"/>
              </w:rPr>
              <w:t>nerated by operations.</w:t>
            </w:r>
          </w:p>
        </w:tc>
      </w:tr>
      <w:tr w:rsidR="00476A0E" w:rsidTr="00476A0E">
        <w:trPr>
          <w:jc w:val="center"/>
        </w:trPr>
        <w:tc>
          <w:tcPr>
            <w:tcW w:w="7308" w:type="dxa"/>
            <w:tcBorders>
              <w:top w:val="single" w:sz="36" w:space="0" w:color="00285E"/>
              <w:bottom w:val="single" w:sz="36" w:space="0" w:color="00285E"/>
            </w:tcBorders>
          </w:tcPr>
          <w:p w:rsidR="00476A0E" w:rsidRDefault="00A775B2" w:rsidP="00994E26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A775B2">
              <w:rPr>
                <w:rFonts w:ascii="Tahoma" w:eastAsia="Times New Roman" w:hAnsi="Tahoma" w:cs="Tahoma"/>
                <w:noProof/>
                <w:sz w:val="20"/>
                <w:szCs w:val="20"/>
              </w:rPr>
              <w:drawing>
                <wp:inline distT="0" distB="0" distL="0" distR="0">
                  <wp:extent cx="4572000" cy="1828800"/>
                  <wp:effectExtent l="0" t="0" r="0" b="0"/>
                  <wp:docPr id="4" name="Chart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"/>
                    </a:graphicData>
                  </a:graphic>
                </wp:inline>
              </w:drawing>
            </w:r>
          </w:p>
        </w:tc>
        <w:tc>
          <w:tcPr>
            <w:tcW w:w="108" w:type="dxa"/>
          </w:tcPr>
          <w:p w:rsidR="00476A0E" w:rsidRDefault="00476A0E" w:rsidP="00994E26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024" w:type="dxa"/>
            <w:tcBorders>
              <w:top w:val="single" w:sz="36" w:space="0" w:color="FFD200"/>
              <w:bottom w:val="single" w:sz="36" w:space="0" w:color="FFD200"/>
            </w:tcBorders>
          </w:tcPr>
          <w:p w:rsidR="00AB65C7" w:rsidRDefault="00AB65C7" w:rsidP="00AB65C7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  <w:p w:rsidR="00AB65C7" w:rsidRPr="003A5C53" w:rsidRDefault="00AB65C7" w:rsidP="00AB65C7">
            <w:pPr>
              <w:jc w:val="center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sz w:val="24"/>
                <w:szCs w:val="24"/>
              </w:rPr>
              <w:t>Net Income</w:t>
            </w:r>
            <w:r w:rsidRPr="003A5C53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 Ratio</w:t>
            </w:r>
          </w:p>
          <w:p w:rsidR="00AB65C7" w:rsidRDefault="00AB65C7" w:rsidP="00AB65C7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  <w:p w:rsidR="00476A0E" w:rsidRDefault="00AB65C7" w:rsidP="00E909CD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The Net Income Ratio</w:t>
            </w:r>
            <w:r w:rsidR="00E909C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="00E909CD" w:rsidRPr="00E909CD">
              <w:rPr>
                <w:rFonts w:ascii="Tahoma" w:eastAsia="Times New Roman" w:hAnsi="Tahoma" w:cs="Tahoma"/>
                <w:sz w:val="20"/>
                <w:szCs w:val="20"/>
              </w:rPr>
              <w:t>measure</w:t>
            </w:r>
            <w:r w:rsidR="00E909CD">
              <w:rPr>
                <w:rFonts w:ascii="Tahoma" w:eastAsia="Times New Roman" w:hAnsi="Tahoma" w:cs="Tahoma"/>
                <w:sz w:val="20"/>
                <w:szCs w:val="20"/>
              </w:rPr>
              <w:t>s The University</w:t>
            </w:r>
            <w:r w:rsidR="00E909CD" w:rsidRPr="00E909CD">
              <w:rPr>
                <w:rFonts w:ascii="Tahoma" w:eastAsia="Times New Roman" w:hAnsi="Tahoma" w:cs="Tahoma"/>
                <w:sz w:val="20"/>
                <w:szCs w:val="20"/>
              </w:rPr>
              <w:t>'s profitability or ability to operate within its means. Continued gains or losses measured by the ratio will impact all the other fundamental elements of financial health over time.</w:t>
            </w:r>
          </w:p>
        </w:tc>
      </w:tr>
    </w:tbl>
    <w:p w:rsidR="00F560E4" w:rsidRDefault="00F560E4" w:rsidP="00F560E4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sectPr w:rsidR="00F560E4" w:rsidSect="007B229E">
      <w:headerReference w:type="default" r:id="rId15"/>
      <w:footerReference w:type="default" r:id="rId16"/>
      <w:pgSz w:w="12240" w:h="15840"/>
      <w:pgMar w:top="720" w:right="720" w:bottom="720" w:left="72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853" w:rsidRDefault="004F4853" w:rsidP="007B229E">
      <w:pPr>
        <w:spacing w:after="0" w:line="240" w:lineRule="auto"/>
      </w:pPr>
      <w:r>
        <w:separator/>
      </w:r>
    </w:p>
  </w:endnote>
  <w:endnote w:type="continuationSeparator" w:id="0">
    <w:p w:rsidR="004F4853" w:rsidRDefault="004F4853" w:rsidP="007B2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AC3" w:rsidRDefault="00803AC3" w:rsidP="00AB65C7">
    <w:pPr>
      <w:pStyle w:val="Footer"/>
      <w:tabs>
        <w:tab w:val="clear" w:pos="9360"/>
        <w:tab w:val="left" w:pos="810"/>
        <w:tab w:val="right" w:pos="10800"/>
      </w:tabs>
      <w:rPr>
        <w:rFonts w:ascii="Tahoma" w:hAnsi="Tahoma" w:cs="Tahoma"/>
        <w:sz w:val="16"/>
        <w:szCs w:val="16"/>
      </w:rPr>
    </w:pPr>
    <w:r w:rsidRPr="007B229E">
      <w:rPr>
        <w:rFonts w:ascii="Tahoma" w:hAnsi="Tahoma" w:cs="Tahoma"/>
        <w:b/>
        <w:sz w:val="16"/>
        <w:szCs w:val="16"/>
      </w:rPr>
      <w:t>Source</w:t>
    </w:r>
    <w:r>
      <w:rPr>
        <w:rFonts w:ascii="Tahoma" w:hAnsi="Tahoma" w:cs="Tahoma"/>
        <w:b/>
        <w:sz w:val="16"/>
        <w:szCs w:val="16"/>
      </w:rPr>
      <w:t>s</w:t>
    </w:r>
    <w:r>
      <w:rPr>
        <w:rFonts w:ascii="Tahoma" w:hAnsi="Tahoma" w:cs="Tahoma"/>
        <w:sz w:val="16"/>
        <w:szCs w:val="16"/>
      </w:rPr>
      <w:t>:</w:t>
    </w:r>
    <w:r>
      <w:rPr>
        <w:rFonts w:ascii="Tahoma" w:hAnsi="Tahoma" w:cs="Tahoma"/>
        <w:sz w:val="16"/>
        <w:szCs w:val="16"/>
      </w:rPr>
      <w:tab/>
    </w:r>
    <w:r w:rsidRPr="007B229E">
      <w:rPr>
        <w:rFonts w:ascii="Tahoma" w:hAnsi="Tahoma" w:cs="Tahoma"/>
        <w:sz w:val="16"/>
        <w:szCs w:val="16"/>
      </w:rPr>
      <w:t xml:space="preserve">The University System </w:t>
    </w:r>
    <w:r w:rsidR="00676DE2">
      <w:rPr>
        <w:rFonts w:ascii="Tahoma" w:hAnsi="Tahoma" w:cs="Tahoma"/>
        <w:sz w:val="16"/>
        <w:szCs w:val="16"/>
      </w:rPr>
      <w:t xml:space="preserve">of Ohio </w:t>
    </w:r>
    <w:hyperlink r:id="rId1" w:history="1">
      <w:r w:rsidR="00676DE2" w:rsidRPr="00683621">
        <w:rPr>
          <w:rStyle w:val="Hyperlink"/>
          <w:rFonts w:ascii="Tahoma" w:hAnsi="Tahoma" w:cs="Tahoma"/>
          <w:sz w:val="16"/>
          <w:szCs w:val="16"/>
        </w:rPr>
        <w:t>www.ohiohighered.org</w:t>
      </w:r>
    </w:hyperlink>
    <w:r w:rsidR="00676DE2">
      <w:rPr>
        <w:rFonts w:ascii="Tahoma" w:hAnsi="Tahoma" w:cs="Tahoma"/>
        <w:sz w:val="16"/>
        <w:szCs w:val="16"/>
      </w:rPr>
      <w:tab/>
    </w:r>
    <w:r>
      <w:rPr>
        <w:rFonts w:ascii="Tahoma" w:hAnsi="Tahoma" w:cs="Tahoma"/>
        <w:sz w:val="16"/>
        <w:szCs w:val="16"/>
      </w:rPr>
      <w:tab/>
    </w:r>
    <w:r w:rsidRPr="00AB65C7">
      <w:rPr>
        <w:rFonts w:ascii="Tahoma" w:hAnsi="Tahoma" w:cs="Tahoma"/>
        <w:b/>
        <w:sz w:val="16"/>
        <w:szCs w:val="16"/>
      </w:rPr>
      <w:t>Prepared by</w:t>
    </w:r>
    <w:r>
      <w:rPr>
        <w:rFonts w:ascii="Tahoma" w:hAnsi="Tahoma" w:cs="Tahoma"/>
        <w:sz w:val="16"/>
        <w:szCs w:val="16"/>
      </w:rPr>
      <w:t>: Office of the AVP/Controller</w:t>
    </w:r>
  </w:p>
  <w:p w:rsidR="00803AC3" w:rsidRDefault="00803AC3" w:rsidP="00AB65C7">
    <w:pPr>
      <w:pStyle w:val="Footer"/>
      <w:tabs>
        <w:tab w:val="clear" w:pos="9360"/>
        <w:tab w:val="left" w:pos="810"/>
        <w:tab w:val="right" w:pos="10800"/>
      </w:tabs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ab/>
    </w:r>
    <w:r w:rsidRPr="00E86EFB">
      <w:rPr>
        <w:rFonts w:ascii="Tahoma" w:hAnsi="Tahoma" w:cs="Tahoma"/>
        <w:i/>
        <w:sz w:val="16"/>
        <w:szCs w:val="16"/>
      </w:rPr>
      <w:t>Strategic Financial Analysis for Higher Education</w:t>
    </w:r>
    <w:r>
      <w:rPr>
        <w:rFonts w:ascii="Tahoma" w:hAnsi="Tahoma" w:cs="Tahoma"/>
        <w:sz w:val="16"/>
        <w:szCs w:val="16"/>
      </w:rPr>
      <w:t>, Seventh Edition</w:t>
    </w:r>
    <w:r w:rsidRPr="00AB65C7">
      <w:rPr>
        <w:rFonts w:ascii="Tahoma" w:hAnsi="Tahoma" w:cs="Tahoma"/>
        <w:sz w:val="16"/>
        <w:szCs w:val="16"/>
      </w:rPr>
      <w:t xml:space="preserve"> </w:t>
    </w:r>
    <w:r>
      <w:rPr>
        <w:rFonts w:ascii="Tahoma" w:hAnsi="Tahoma" w:cs="Tahoma"/>
        <w:sz w:val="16"/>
        <w:szCs w:val="16"/>
      </w:rPr>
      <w:tab/>
    </w:r>
    <w:r w:rsidRPr="00AB65C7">
      <w:rPr>
        <w:rFonts w:ascii="Tahoma" w:hAnsi="Tahoma" w:cs="Tahoma"/>
        <w:b/>
        <w:sz w:val="16"/>
        <w:szCs w:val="16"/>
      </w:rPr>
      <w:t>Data as of</w:t>
    </w:r>
    <w:r w:rsidR="00262B4A">
      <w:rPr>
        <w:rFonts w:ascii="Tahoma" w:hAnsi="Tahoma" w:cs="Tahoma"/>
        <w:sz w:val="16"/>
        <w:szCs w:val="16"/>
      </w:rPr>
      <w:t>: October 15, 2019</w:t>
    </w:r>
  </w:p>
  <w:p w:rsidR="00803AC3" w:rsidRPr="007B229E" w:rsidRDefault="00803AC3" w:rsidP="00AB65C7">
    <w:pPr>
      <w:pStyle w:val="Footer"/>
      <w:tabs>
        <w:tab w:val="clear" w:pos="9360"/>
        <w:tab w:val="left" w:pos="810"/>
        <w:tab w:val="right" w:pos="10800"/>
      </w:tabs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ab/>
      <w:t>The University of Akron’s Audited Financial Statements</w:t>
    </w:r>
    <w:r w:rsidRPr="00AB65C7">
      <w:rPr>
        <w:rFonts w:ascii="Tahoma" w:hAnsi="Tahoma" w:cs="Tahoma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853" w:rsidRDefault="004F4853" w:rsidP="007B229E">
      <w:pPr>
        <w:spacing w:after="0" w:line="240" w:lineRule="auto"/>
      </w:pPr>
      <w:r>
        <w:separator/>
      </w:r>
    </w:p>
  </w:footnote>
  <w:footnote w:type="continuationSeparator" w:id="0">
    <w:p w:rsidR="004F4853" w:rsidRDefault="004F4853" w:rsidP="007B22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AC3" w:rsidRPr="00836F66" w:rsidRDefault="00803AC3" w:rsidP="00836F66">
    <w:pPr>
      <w:pStyle w:val="Header"/>
      <w:tabs>
        <w:tab w:val="clear" w:pos="9360"/>
        <w:tab w:val="right" w:pos="10800"/>
      </w:tabs>
      <w:rPr>
        <w:rFonts w:ascii="Tahoma" w:hAnsi="Tahoma" w:cs="Tahoma"/>
        <w:b/>
        <w:sz w:val="36"/>
        <w:szCs w:val="36"/>
      </w:rPr>
    </w:pPr>
    <w:r w:rsidRPr="00836F66">
      <w:rPr>
        <w:rFonts w:ascii="Tahoma" w:hAnsi="Tahoma" w:cs="Tahoma"/>
        <w:b/>
        <w:sz w:val="36"/>
        <w:szCs w:val="36"/>
      </w:rPr>
      <w:t>The University of Akron</w:t>
    </w:r>
    <w:r w:rsidRPr="00836F66">
      <w:rPr>
        <w:rFonts w:ascii="Tahoma" w:hAnsi="Tahoma" w:cs="Tahoma"/>
        <w:b/>
        <w:sz w:val="36"/>
        <w:szCs w:val="36"/>
      </w:rPr>
      <w:tab/>
    </w:r>
    <w:r w:rsidRPr="00836F66">
      <w:rPr>
        <w:rFonts w:ascii="Tahoma" w:hAnsi="Tahoma" w:cs="Tahoma"/>
        <w:b/>
        <w:sz w:val="36"/>
        <w:szCs w:val="36"/>
      </w:rPr>
      <w:tab/>
      <w:t>Senate Bill 6 Ratio</w:t>
    </w:r>
  </w:p>
  <w:p w:rsidR="00803AC3" w:rsidRPr="00836F66" w:rsidRDefault="00803AC3">
    <w:pPr>
      <w:pStyle w:val="Header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C2F0D"/>
    <w:multiLevelType w:val="multilevel"/>
    <w:tmpl w:val="A080F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50743E"/>
    <w:multiLevelType w:val="multilevel"/>
    <w:tmpl w:val="AC640F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A35"/>
    <w:rsid w:val="00053860"/>
    <w:rsid w:val="00054BD6"/>
    <w:rsid w:val="00056D37"/>
    <w:rsid w:val="000D2DEA"/>
    <w:rsid w:val="00124223"/>
    <w:rsid w:val="00140FE4"/>
    <w:rsid w:val="0015220F"/>
    <w:rsid w:val="00162AE4"/>
    <w:rsid w:val="001A52ED"/>
    <w:rsid w:val="001A760C"/>
    <w:rsid w:val="001C784B"/>
    <w:rsid w:val="001D5AEE"/>
    <w:rsid w:val="001E2861"/>
    <w:rsid w:val="00203E12"/>
    <w:rsid w:val="00215EBC"/>
    <w:rsid w:val="0022340F"/>
    <w:rsid w:val="002571D2"/>
    <w:rsid w:val="00262B4A"/>
    <w:rsid w:val="00293E10"/>
    <w:rsid w:val="002B09A7"/>
    <w:rsid w:val="002B6835"/>
    <w:rsid w:val="002B716E"/>
    <w:rsid w:val="002C5842"/>
    <w:rsid w:val="002D11AB"/>
    <w:rsid w:val="003219E8"/>
    <w:rsid w:val="00354F6B"/>
    <w:rsid w:val="00381725"/>
    <w:rsid w:val="003956D3"/>
    <w:rsid w:val="003A5C53"/>
    <w:rsid w:val="003C5B43"/>
    <w:rsid w:val="003F1446"/>
    <w:rsid w:val="00406478"/>
    <w:rsid w:val="00473727"/>
    <w:rsid w:val="00476A0E"/>
    <w:rsid w:val="00483299"/>
    <w:rsid w:val="004B40C6"/>
    <w:rsid w:val="004C0A35"/>
    <w:rsid w:val="004F2C32"/>
    <w:rsid w:val="004F4853"/>
    <w:rsid w:val="00515054"/>
    <w:rsid w:val="00516816"/>
    <w:rsid w:val="005318E9"/>
    <w:rsid w:val="005664C4"/>
    <w:rsid w:val="005C3099"/>
    <w:rsid w:val="005D74AD"/>
    <w:rsid w:val="006220A8"/>
    <w:rsid w:val="00645551"/>
    <w:rsid w:val="00672280"/>
    <w:rsid w:val="00675EDC"/>
    <w:rsid w:val="00676DE2"/>
    <w:rsid w:val="00677053"/>
    <w:rsid w:val="00687A89"/>
    <w:rsid w:val="00687EEA"/>
    <w:rsid w:val="00691AA7"/>
    <w:rsid w:val="006D63C6"/>
    <w:rsid w:val="006F05DC"/>
    <w:rsid w:val="006F0E13"/>
    <w:rsid w:val="007147C0"/>
    <w:rsid w:val="00727130"/>
    <w:rsid w:val="00734313"/>
    <w:rsid w:val="00737E4F"/>
    <w:rsid w:val="007619CF"/>
    <w:rsid w:val="0076376A"/>
    <w:rsid w:val="007B229E"/>
    <w:rsid w:val="007E0442"/>
    <w:rsid w:val="007E380C"/>
    <w:rsid w:val="00803AC3"/>
    <w:rsid w:val="008143D7"/>
    <w:rsid w:val="0082733F"/>
    <w:rsid w:val="00836F66"/>
    <w:rsid w:val="008D5636"/>
    <w:rsid w:val="008E26DE"/>
    <w:rsid w:val="008E4C11"/>
    <w:rsid w:val="00921149"/>
    <w:rsid w:val="00924849"/>
    <w:rsid w:val="00937B72"/>
    <w:rsid w:val="009507EB"/>
    <w:rsid w:val="00994E26"/>
    <w:rsid w:val="009D32E0"/>
    <w:rsid w:val="00A13048"/>
    <w:rsid w:val="00A2132E"/>
    <w:rsid w:val="00A52CAE"/>
    <w:rsid w:val="00A71FC5"/>
    <w:rsid w:val="00A775B2"/>
    <w:rsid w:val="00A86BC9"/>
    <w:rsid w:val="00AB65C7"/>
    <w:rsid w:val="00AF2744"/>
    <w:rsid w:val="00B10C4A"/>
    <w:rsid w:val="00B12711"/>
    <w:rsid w:val="00B36F1E"/>
    <w:rsid w:val="00B53202"/>
    <w:rsid w:val="00B72B6D"/>
    <w:rsid w:val="00B74DC1"/>
    <w:rsid w:val="00B90420"/>
    <w:rsid w:val="00BB36C4"/>
    <w:rsid w:val="00BD0F86"/>
    <w:rsid w:val="00BE6904"/>
    <w:rsid w:val="00C42096"/>
    <w:rsid w:val="00C6592F"/>
    <w:rsid w:val="00C92C25"/>
    <w:rsid w:val="00CB4479"/>
    <w:rsid w:val="00CE5A38"/>
    <w:rsid w:val="00CF3DBD"/>
    <w:rsid w:val="00CF526B"/>
    <w:rsid w:val="00CF560B"/>
    <w:rsid w:val="00D0106C"/>
    <w:rsid w:val="00D55C7E"/>
    <w:rsid w:val="00D843BA"/>
    <w:rsid w:val="00DA3AC1"/>
    <w:rsid w:val="00DD75AD"/>
    <w:rsid w:val="00DF57CC"/>
    <w:rsid w:val="00E25D7F"/>
    <w:rsid w:val="00E26D00"/>
    <w:rsid w:val="00E63614"/>
    <w:rsid w:val="00E85E2E"/>
    <w:rsid w:val="00E86EFB"/>
    <w:rsid w:val="00E909CD"/>
    <w:rsid w:val="00EC70D1"/>
    <w:rsid w:val="00EF0C5B"/>
    <w:rsid w:val="00F43503"/>
    <w:rsid w:val="00F560E4"/>
    <w:rsid w:val="00F67162"/>
    <w:rsid w:val="00F70C28"/>
    <w:rsid w:val="00F722DA"/>
    <w:rsid w:val="00FA24E0"/>
    <w:rsid w:val="00FA411E"/>
    <w:rsid w:val="00FA7769"/>
    <w:rsid w:val="00FF2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44BB4E7"/>
  <w15:docId w15:val="{3A8A2AB0-4D50-4BB5-B0CA-07C9EF5CC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C0A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4C0A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C0A3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C0A3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4C0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FF2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4B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22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229E"/>
  </w:style>
  <w:style w:type="paragraph" w:styleId="Footer">
    <w:name w:val="footer"/>
    <w:basedOn w:val="Normal"/>
    <w:link w:val="FooterChar"/>
    <w:uiPriority w:val="99"/>
    <w:unhideWhenUsed/>
    <w:rsid w:val="007B22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229E"/>
  </w:style>
  <w:style w:type="paragraph" w:styleId="BalloonText">
    <w:name w:val="Balloon Text"/>
    <w:basedOn w:val="Normal"/>
    <w:link w:val="BalloonTextChar"/>
    <w:uiPriority w:val="99"/>
    <w:semiHidden/>
    <w:unhideWhenUsed/>
    <w:rsid w:val="007B2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29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76D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98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13" Type="http://schemas.openxmlformats.org/officeDocument/2006/relationships/chart" Target="charts/chart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chart" Target="charts/chart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1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package" Target="embeddings/Microsoft_Excel_Worksheet1.xlsx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chart" Target="charts/chart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hiohighered.org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7"/>
    </mc:Choice>
    <mc:Fallback>
      <c:style val="27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Weighted Net Income</c:v>
                </c:pt>
              </c:strCache>
            </c:strRef>
          </c:tx>
          <c:invertIfNegative val="0"/>
          <c:cat>
            <c:strRef>
              <c:f>Sheet1!$A$2:$A$6</c:f>
              <c:strCache>
                <c:ptCount val="5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2019*</c:v>
                </c:pt>
              </c:strCache>
            </c:strRef>
          </c:cat>
          <c:val>
            <c:numRef>
              <c:f>Sheet1!$B$2:$B$6</c:f>
              <c:numCache>
                <c:formatCode>0.0</c:formatCode>
                <c:ptCount val="5"/>
                <c:pt idx="0">
                  <c:v>0.2</c:v>
                </c:pt>
                <c:pt idx="1">
                  <c:v>0.60000000000000009</c:v>
                </c:pt>
                <c:pt idx="2">
                  <c:v>0.8</c:v>
                </c:pt>
                <c:pt idx="3">
                  <c:v>0.60000000000000009</c:v>
                </c:pt>
                <c:pt idx="4">
                  <c:v>0.2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B68-46EF-B46D-190CA7A91290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Weighted Primary Reserve</c:v>
                </c:pt>
              </c:strCache>
            </c:strRef>
          </c:tx>
          <c:invertIfNegative val="0"/>
          <c:cat>
            <c:strRef>
              <c:f>Sheet1!$A$2:$A$6</c:f>
              <c:strCache>
                <c:ptCount val="5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2019*</c:v>
                </c:pt>
              </c:strCache>
            </c:strRef>
          </c:cat>
          <c:val>
            <c:numRef>
              <c:f>Sheet1!$C$2:$C$6</c:f>
              <c:numCache>
                <c:formatCode>0.0</c:formatCode>
                <c:ptCount val="5"/>
                <c:pt idx="0">
                  <c:v>2</c:v>
                </c:pt>
                <c:pt idx="1">
                  <c:v>2</c:v>
                </c:pt>
                <c:pt idx="2">
                  <c:v>2</c:v>
                </c:pt>
                <c:pt idx="3">
                  <c:v>2</c:v>
                </c:pt>
                <c:pt idx="4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B68-46EF-B46D-190CA7A91290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Weighted Viability</c:v>
                </c:pt>
              </c:strCache>
            </c:strRef>
          </c:tx>
          <c:invertIfNegative val="0"/>
          <c:cat>
            <c:strRef>
              <c:f>Sheet1!$A$2:$A$6</c:f>
              <c:strCache>
                <c:ptCount val="5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2019*</c:v>
                </c:pt>
              </c:strCache>
            </c:strRef>
          </c:cat>
          <c:val>
            <c:numRef>
              <c:f>Sheet1!$D$2:$D$6</c:f>
              <c:numCache>
                <c:formatCode>0.0</c:formatCode>
                <c:ptCount val="5"/>
                <c:pt idx="0">
                  <c:v>0.6</c:v>
                </c:pt>
                <c:pt idx="1">
                  <c:v>0.6</c:v>
                </c:pt>
                <c:pt idx="2">
                  <c:v>0.6</c:v>
                </c:pt>
                <c:pt idx="3">
                  <c:v>0.6</c:v>
                </c:pt>
                <c:pt idx="4">
                  <c:v>0.6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B68-46EF-B46D-190CA7A91290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Composite Score</c:v>
                </c:pt>
              </c:strCache>
            </c:strRef>
          </c:tx>
          <c:spPr>
            <a:noFill/>
            <a:ln>
              <a:noFill/>
            </a:ln>
            <a:effectLst/>
          </c:spPr>
          <c:invertIfNegative val="0"/>
          <c:dLbls>
            <c:spPr>
              <a:solidFill>
                <a:schemeClr val="bg1"/>
              </a:solidFill>
            </c:spPr>
            <c:txPr>
              <a:bodyPr/>
              <a:lstStyle/>
              <a:p>
                <a:pPr>
                  <a:defRPr sz="900"/>
                </a:pPr>
                <a:endParaRPr lang="en-US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Sheet1!$A$2:$A$6</c:f>
              <c:strCache>
                <c:ptCount val="5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2019*</c:v>
                </c:pt>
              </c:strCache>
            </c:strRef>
          </c:cat>
          <c:val>
            <c:numRef>
              <c:f>Sheet1!$E$2:$E$6</c:f>
              <c:numCache>
                <c:formatCode>0.0</c:formatCode>
                <c:ptCount val="5"/>
                <c:pt idx="0">
                  <c:v>2.8000000000000003</c:v>
                </c:pt>
                <c:pt idx="1">
                  <c:v>3.2</c:v>
                </c:pt>
                <c:pt idx="2">
                  <c:v>3.4</c:v>
                </c:pt>
                <c:pt idx="3">
                  <c:v>3.2</c:v>
                </c:pt>
                <c:pt idx="4">
                  <c:v>2.8000000000000003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CB68-46EF-B46D-190CA7A9129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100"/>
        <c:axId val="496833208"/>
        <c:axId val="496833600"/>
      </c:barChart>
      <c:catAx>
        <c:axId val="4968332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496833600"/>
        <c:crosses val="autoZero"/>
        <c:auto val="1"/>
        <c:lblAlgn val="ctr"/>
        <c:lblOffset val="100"/>
        <c:noMultiLvlLbl val="0"/>
      </c:catAx>
      <c:valAx>
        <c:axId val="496833600"/>
        <c:scaling>
          <c:orientation val="minMax"/>
          <c:max val="5"/>
        </c:scaling>
        <c:delete val="0"/>
        <c:axPos val="l"/>
        <c:majorGridlines>
          <c:spPr>
            <a:ln>
              <a:noFill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en-US"/>
                  <a:t>Score</a:t>
                </a:r>
              </a:p>
            </c:rich>
          </c:tx>
          <c:layout>
            <c:manualLayout>
              <c:xMode val="edge"/>
              <c:yMode val="edge"/>
              <c:x val="0.10555555555555562"/>
              <c:y val="2.190326209223847E-2"/>
            </c:manualLayout>
          </c:layout>
          <c:overlay val="0"/>
        </c:title>
        <c:numFmt formatCode="0.0" sourceLinked="1"/>
        <c:majorTickMark val="out"/>
        <c:minorTickMark val="none"/>
        <c:tickLblPos val="nextTo"/>
        <c:crossAx val="496833208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Tahoma" pitchFamily="34" charset="0"/>
          <a:cs typeface="Tahoma" pitchFamily="34" charset="0"/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Expendable net assets</c:v>
                </c:pt>
              </c:strCache>
            </c:strRef>
          </c:tx>
          <c:invertIfNegative val="0"/>
          <c:cat>
            <c:strRef>
              <c:f>Sheet1!$A$2:$A$6</c:f>
              <c:strCache>
                <c:ptCount val="5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2019*</c:v>
                </c:pt>
              </c:strCache>
            </c:strRef>
          </c:cat>
          <c:val>
            <c:numRef>
              <c:f>Sheet1!$B$2:$B$6</c:f>
              <c:numCache>
                <c:formatCode>"$"#,##0.0</c:formatCode>
                <c:ptCount val="5"/>
                <c:pt idx="0">
                  <c:v>168.6</c:v>
                </c:pt>
                <c:pt idx="1">
                  <c:v>160.80000000000001</c:v>
                </c:pt>
                <c:pt idx="2">
                  <c:v>181.7</c:v>
                </c:pt>
                <c:pt idx="3">
                  <c:v>160.4</c:v>
                </c:pt>
                <c:pt idx="4">
                  <c:v>158.80000000000001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415-401D-8073-A8961EE86CD9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Plant debt</c:v>
                </c:pt>
              </c:strCache>
            </c:strRef>
          </c:tx>
          <c:invertIfNegative val="0"/>
          <c:cat>
            <c:strRef>
              <c:f>Sheet1!$A$2:$A$6</c:f>
              <c:strCache>
                <c:ptCount val="5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2019*</c:v>
                </c:pt>
              </c:strCache>
            </c:strRef>
          </c:cat>
          <c:val>
            <c:numRef>
              <c:f>Sheet1!$C$2:$C$6</c:f>
              <c:numCache>
                <c:formatCode>"$"#,##0.0</c:formatCode>
                <c:ptCount val="5"/>
                <c:pt idx="0">
                  <c:v>453.6</c:v>
                </c:pt>
                <c:pt idx="1">
                  <c:v>441.4</c:v>
                </c:pt>
                <c:pt idx="2">
                  <c:v>430.8</c:v>
                </c:pt>
                <c:pt idx="3">
                  <c:v>412.9</c:v>
                </c:pt>
                <c:pt idx="4">
                  <c:v>396.9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415-401D-8073-A8961EE86CD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02690928"/>
        <c:axId val="502691320"/>
      </c:barChart>
      <c:lineChart>
        <c:grouping val="standard"/>
        <c:varyColors val="0"/>
        <c:ser>
          <c:idx val="2"/>
          <c:order val="2"/>
          <c:tx>
            <c:strRef>
              <c:f>Sheet1!$D$1</c:f>
              <c:strCache>
                <c:ptCount val="1"/>
                <c:pt idx="0">
                  <c:v>Unweighted Viability ratio</c:v>
                </c:pt>
              </c:strCache>
            </c:strRef>
          </c:tx>
          <c:spPr>
            <a:ln w="38100"/>
          </c:spPr>
          <c:marker>
            <c:symbol val="circle"/>
            <c:size val="5"/>
          </c:marker>
          <c:cat>
            <c:strRef>
              <c:f>Sheet1!$A$2:$A$6</c:f>
              <c:strCache>
                <c:ptCount val="5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2019*</c:v>
                </c:pt>
              </c:strCache>
            </c:strRef>
          </c:cat>
          <c:val>
            <c:numRef>
              <c:f>Sheet1!$D$2:$D$6</c:f>
              <c:numCache>
                <c:formatCode>0.0</c:formatCode>
                <c:ptCount val="5"/>
                <c:pt idx="0">
                  <c:v>2</c:v>
                </c:pt>
                <c:pt idx="1">
                  <c:v>2</c:v>
                </c:pt>
                <c:pt idx="2">
                  <c:v>2</c:v>
                </c:pt>
                <c:pt idx="3">
                  <c:v>2</c:v>
                </c:pt>
                <c:pt idx="4">
                  <c:v>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4415-401D-8073-A8961EE86CD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24666216"/>
        <c:axId val="80181136"/>
      </c:lineChart>
      <c:catAx>
        <c:axId val="5026909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502691320"/>
        <c:crosses val="autoZero"/>
        <c:auto val="1"/>
        <c:lblAlgn val="ctr"/>
        <c:lblOffset val="100"/>
        <c:noMultiLvlLbl val="0"/>
      </c:catAx>
      <c:valAx>
        <c:axId val="502691320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en-US"/>
                  <a:t>Amount</a:t>
                </a:r>
              </a:p>
              <a:p>
                <a:pPr>
                  <a:defRPr/>
                </a:pPr>
                <a:r>
                  <a:rPr lang="en-US" sz="800"/>
                  <a:t>(in millions)</a:t>
                </a:r>
              </a:p>
            </c:rich>
          </c:tx>
          <c:layout>
            <c:manualLayout>
              <c:xMode val="edge"/>
              <c:yMode val="edge"/>
              <c:x val="1.3888888888888938E-2"/>
              <c:y val="5.9020669291338805E-2"/>
            </c:manualLayout>
          </c:layout>
          <c:overlay val="0"/>
        </c:title>
        <c:numFmt formatCode="&quot;$&quot;#,##0" sourceLinked="0"/>
        <c:majorTickMark val="out"/>
        <c:minorTickMark val="none"/>
        <c:tickLblPos val="nextTo"/>
        <c:crossAx val="502690928"/>
        <c:crosses val="autoZero"/>
        <c:crossBetween val="between"/>
      </c:valAx>
      <c:valAx>
        <c:axId val="80181136"/>
        <c:scaling>
          <c:orientation val="minMax"/>
          <c:max val="5"/>
        </c:scaling>
        <c:delete val="0"/>
        <c:axPos val="r"/>
        <c:numFmt formatCode="0.0" sourceLinked="1"/>
        <c:majorTickMark val="out"/>
        <c:minorTickMark val="none"/>
        <c:tickLblPos val="nextTo"/>
        <c:crossAx val="624666216"/>
        <c:crosses val="max"/>
        <c:crossBetween val="between"/>
      </c:valAx>
      <c:catAx>
        <c:axId val="62466621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80181136"/>
        <c:crosses val="autoZero"/>
        <c:auto val="1"/>
        <c:lblAlgn val="ctr"/>
        <c:lblOffset val="100"/>
        <c:noMultiLvlLbl val="0"/>
      </c:catAx>
    </c:plotArea>
    <c:legend>
      <c:legendPos val="b"/>
      <c:layout/>
      <c:overlay val="0"/>
      <c:txPr>
        <a:bodyPr/>
        <a:lstStyle/>
        <a:p>
          <a:pPr>
            <a:defRPr sz="700">
              <a:latin typeface="Tahoma" pitchFamily="34" charset="0"/>
              <a:cs typeface="Tahoma" pitchFamily="34" charset="0"/>
            </a:defRPr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Expendable net assets</c:v>
                </c:pt>
              </c:strCache>
            </c:strRef>
          </c:tx>
          <c:invertIfNegative val="0"/>
          <c:cat>
            <c:strRef>
              <c:f>Sheet1!$A$2:$A$6</c:f>
              <c:strCache>
                <c:ptCount val="5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2019*</c:v>
                </c:pt>
              </c:strCache>
            </c:strRef>
          </c:cat>
          <c:val>
            <c:numRef>
              <c:f>Sheet1!$B$2:$B$6</c:f>
              <c:numCache>
                <c:formatCode>"$"#,##0.0</c:formatCode>
                <c:ptCount val="5"/>
                <c:pt idx="0">
                  <c:v>168.6</c:v>
                </c:pt>
                <c:pt idx="1">
                  <c:v>160.80000000000001</c:v>
                </c:pt>
                <c:pt idx="2">
                  <c:v>181.7</c:v>
                </c:pt>
                <c:pt idx="3">
                  <c:v>160.4</c:v>
                </c:pt>
                <c:pt idx="4">
                  <c:v>158.80000000000001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003-4AC0-9A96-48972C4AFE9F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Total operating expenses</c:v>
                </c:pt>
              </c:strCache>
            </c:strRef>
          </c:tx>
          <c:spPr>
            <a:solidFill>
              <a:schemeClr val="accent4">
                <a:lumMod val="75000"/>
              </a:schemeClr>
            </a:solidFill>
          </c:spPr>
          <c:invertIfNegative val="0"/>
          <c:cat>
            <c:strRef>
              <c:f>Sheet1!$A$2:$A$6</c:f>
              <c:strCache>
                <c:ptCount val="5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2019*</c:v>
                </c:pt>
              </c:strCache>
            </c:strRef>
          </c:cat>
          <c:val>
            <c:numRef>
              <c:f>Sheet1!$C$2:$C$6</c:f>
              <c:numCache>
                <c:formatCode>"$"#,##0.0</c:formatCode>
                <c:ptCount val="5"/>
                <c:pt idx="0">
                  <c:v>479.9</c:v>
                </c:pt>
                <c:pt idx="1">
                  <c:v>453.6</c:v>
                </c:pt>
                <c:pt idx="2">
                  <c:v>434.2</c:v>
                </c:pt>
                <c:pt idx="3">
                  <c:v>419.7</c:v>
                </c:pt>
                <c:pt idx="4">
                  <c:v>405.9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003-4AC0-9A96-48972C4AFE9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02748056"/>
        <c:axId val="508846112"/>
      </c:barChart>
      <c:lineChart>
        <c:grouping val="standard"/>
        <c:varyColors val="0"/>
        <c:ser>
          <c:idx val="2"/>
          <c:order val="2"/>
          <c:tx>
            <c:strRef>
              <c:f>Sheet1!$D$1</c:f>
              <c:strCache>
                <c:ptCount val="1"/>
                <c:pt idx="0">
                  <c:v>Unweighted Primary Reserve ratio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circle"/>
            <c:size val="5"/>
            <c:spPr>
              <a:solidFill>
                <a:schemeClr val="accent6">
                  <a:lumMod val="75000"/>
                </a:schemeClr>
              </a:solidFill>
              <a:ln>
                <a:solidFill>
                  <a:srgbClr val="F79646">
                    <a:lumMod val="75000"/>
                  </a:srgbClr>
                </a:solidFill>
              </a:ln>
            </c:spPr>
          </c:marker>
          <c:cat>
            <c:strRef>
              <c:f>Sheet1!$A$2:$A$6</c:f>
              <c:strCache>
                <c:ptCount val="5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2019*</c:v>
                </c:pt>
              </c:strCache>
            </c:strRef>
          </c:cat>
          <c:val>
            <c:numRef>
              <c:f>Sheet1!$D$2:$D$6</c:f>
              <c:numCache>
                <c:formatCode>0.0</c:formatCode>
                <c:ptCount val="5"/>
                <c:pt idx="0">
                  <c:v>4</c:v>
                </c:pt>
                <c:pt idx="1">
                  <c:v>4</c:v>
                </c:pt>
                <c:pt idx="2">
                  <c:v>4</c:v>
                </c:pt>
                <c:pt idx="3">
                  <c:v>4</c:v>
                </c:pt>
                <c:pt idx="4">
                  <c:v>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B003-4AC0-9A96-48972C4AFE9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01855976"/>
        <c:axId val="503528504"/>
      </c:lineChart>
      <c:catAx>
        <c:axId val="5027480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508846112"/>
        <c:crosses val="autoZero"/>
        <c:auto val="1"/>
        <c:lblAlgn val="ctr"/>
        <c:lblOffset val="100"/>
        <c:noMultiLvlLbl val="0"/>
      </c:catAx>
      <c:valAx>
        <c:axId val="508846112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en-US"/>
                  <a:t>Amount</a:t>
                </a:r>
              </a:p>
              <a:p>
                <a:pPr>
                  <a:defRPr/>
                </a:pPr>
                <a:r>
                  <a:rPr lang="en-US" sz="800"/>
                  <a:t>(in millions)</a:t>
                </a:r>
              </a:p>
            </c:rich>
          </c:tx>
          <c:layout>
            <c:manualLayout>
              <c:xMode val="edge"/>
              <c:yMode val="edge"/>
              <c:x val="1.3888888888888947E-2"/>
              <c:y val="5.9020669291338833E-2"/>
            </c:manualLayout>
          </c:layout>
          <c:overlay val="0"/>
        </c:title>
        <c:numFmt formatCode="&quot;$&quot;#,##0" sourceLinked="0"/>
        <c:majorTickMark val="out"/>
        <c:minorTickMark val="none"/>
        <c:tickLblPos val="nextTo"/>
        <c:crossAx val="502748056"/>
        <c:crosses val="autoZero"/>
        <c:crossBetween val="between"/>
      </c:valAx>
      <c:valAx>
        <c:axId val="503528504"/>
        <c:scaling>
          <c:orientation val="minMax"/>
          <c:max val="5"/>
        </c:scaling>
        <c:delete val="0"/>
        <c:axPos val="r"/>
        <c:numFmt formatCode="0.0" sourceLinked="1"/>
        <c:majorTickMark val="out"/>
        <c:minorTickMark val="none"/>
        <c:tickLblPos val="nextTo"/>
        <c:crossAx val="501855976"/>
        <c:crosses val="max"/>
        <c:crossBetween val="between"/>
      </c:valAx>
      <c:catAx>
        <c:axId val="50185597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503528504"/>
        <c:crosses val="autoZero"/>
        <c:auto val="1"/>
        <c:lblAlgn val="ctr"/>
        <c:lblOffset val="100"/>
        <c:noMultiLvlLbl val="0"/>
      </c:catAx>
    </c:plotArea>
    <c:legend>
      <c:legendPos val="b"/>
      <c:layout/>
      <c:overlay val="0"/>
      <c:txPr>
        <a:bodyPr/>
        <a:lstStyle/>
        <a:p>
          <a:pPr>
            <a:defRPr sz="700">
              <a:latin typeface="Tahoma" pitchFamily="34" charset="0"/>
              <a:cs typeface="Tahoma" pitchFamily="34" charset="0"/>
            </a:defRPr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Changes in net assets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cat>
            <c:strRef>
              <c:f>Sheet1!$A$2:$A$6</c:f>
              <c:strCache>
                <c:ptCount val="5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2019*</c:v>
                </c:pt>
              </c:strCache>
            </c:strRef>
          </c:cat>
          <c:val>
            <c:numRef>
              <c:f>Sheet1!$B$2:$B$6</c:f>
              <c:numCache>
                <c:formatCode>"$"#,##0.0</c:formatCode>
                <c:ptCount val="5"/>
                <c:pt idx="0">
                  <c:v>-10.9</c:v>
                </c:pt>
                <c:pt idx="1">
                  <c:v>9.3000000000000007</c:v>
                </c:pt>
                <c:pt idx="2">
                  <c:v>19.5</c:v>
                </c:pt>
                <c:pt idx="3">
                  <c:v>9.6999999999999993</c:v>
                </c:pt>
                <c:pt idx="4">
                  <c:v>-11.4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752-4698-B514-6D56CB07C6E5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Total revenues</c:v>
                </c:pt>
              </c:strCache>
            </c:strRef>
          </c:tx>
          <c:spPr>
            <a:solidFill>
              <a:schemeClr val="accent3">
                <a:lumMod val="75000"/>
              </a:schemeClr>
            </a:solidFill>
          </c:spPr>
          <c:invertIfNegative val="0"/>
          <c:cat>
            <c:strRef>
              <c:f>Sheet1!$A$2:$A$6</c:f>
              <c:strCache>
                <c:ptCount val="5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2019*</c:v>
                </c:pt>
              </c:strCache>
            </c:strRef>
          </c:cat>
          <c:val>
            <c:numRef>
              <c:f>Sheet1!$C$2:$C$6</c:f>
              <c:numCache>
                <c:formatCode>"$"#,##0.0</c:formatCode>
                <c:ptCount val="5"/>
                <c:pt idx="0">
                  <c:v>469.4</c:v>
                </c:pt>
                <c:pt idx="1">
                  <c:v>463.8</c:v>
                </c:pt>
                <c:pt idx="2">
                  <c:v>453.7</c:v>
                </c:pt>
                <c:pt idx="3">
                  <c:v>429.4</c:v>
                </c:pt>
                <c:pt idx="4">
                  <c:v>394.5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752-4698-B514-6D56CB07C6E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01856760"/>
        <c:axId val="501857152"/>
      </c:barChart>
      <c:lineChart>
        <c:grouping val="standard"/>
        <c:varyColors val="0"/>
        <c:ser>
          <c:idx val="2"/>
          <c:order val="2"/>
          <c:tx>
            <c:strRef>
              <c:f>Sheet1!$D$1</c:f>
              <c:strCache>
                <c:ptCount val="1"/>
                <c:pt idx="0">
                  <c:v>Unweighted Net income ratio</c:v>
                </c:pt>
              </c:strCache>
            </c:strRef>
          </c:tx>
          <c:spPr>
            <a:ln w="38100">
              <a:solidFill>
                <a:schemeClr val="accent2">
                  <a:lumMod val="75000"/>
                </a:schemeClr>
              </a:solidFill>
            </a:ln>
          </c:spPr>
          <c:marker>
            <c:symbol val="circle"/>
            <c:size val="5"/>
            <c:spPr>
              <a:solidFill>
                <a:schemeClr val="accent2">
                  <a:lumMod val="75000"/>
                </a:schemeClr>
              </a:solidFill>
              <a:ln>
                <a:solidFill>
                  <a:srgbClr val="C0504D">
                    <a:lumMod val="75000"/>
                  </a:srgbClr>
                </a:solidFill>
              </a:ln>
            </c:spPr>
          </c:marker>
          <c:cat>
            <c:strRef>
              <c:f>Sheet1!$A$2:$A$6</c:f>
              <c:strCache>
                <c:ptCount val="5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2019*</c:v>
                </c:pt>
              </c:strCache>
            </c:strRef>
          </c:cat>
          <c:val>
            <c:numRef>
              <c:f>Sheet1!$D$2:$D$6</c:f>
              <c:numCache>
                <c:formatCode>0.0</c:formatCode>
                <c:ptCount val="5"/>
                <c:pt idx="0">
                  <c:v>1</c:v>
                </c:pt>
                <c:pt idx="1">
                  <c:v>3</c:v>
                </c:pt>
                <c:pt idx="2">
                  <c:v>4</c:v>
                </c:pt>
                <c:pt idx="3">
                  <c:v>3</c:v>
                </c:pt>
                <c:pt idx="4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D752-4698-B514-6D56CB07C6E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23598688"/>
        <c:axId val="501857544"/>
      </c:lineChart>
      <c:catAx>
        <c:axId val="5018567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501857152"/>
        <c:crosses val="autoZero"/>
        <c:auto val="1"/>
        <c:lblAlgn val="ctr"/>
        <c:lblOffset val="100"/>
        <c:noMultiLvlLbl val="0"/>
      </c:catAx>
      <c:valAx>
        <c:axId val="501857152"/>
        <c:scaling>
          <c:orientation val="minMax"/>
          <c:max val="550"/>
          <c:min val="-50"/>
        </c:scaling>
        <c:delete val="0"/>
        <c:axPos val="l"/>
        <c:majorGridlines>
          <c:spPr>
            <a:ln>
              <a:noFill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en-US"/>
                  <a:t>Amount</a:t>
                </a:r>
              </a:p>
              <a:p>
                <a:pPr>
                  <a:defRPr/>
                </a:pPr>
                <a:r>
                  <a:rPr lang="en-US" sz="800"/>
                  <a:t>(in millions)</a:t>
                </a:r>
              </a:p>
            </c:rich>
          </c:tx>
          <c:layout>
            <c:manualLayout>
              <c:xMode val="edge"/>
              <c:yMode val="edge"/>
              <c:x val="1.3888888888888947E-2"/>
              <c:y val="5.9020669291338833E-2"/>
            </c:manualLayout>
          </c:layout>
          <c:overlay val="0"/>
        </c:title>
        <c:numFmt formatCode="&quot;$&quot;#,##0" sourceLinked="0"/>
        <c:majorTickMark val="out"/>
        <c:minorTickMark val="none"/>
        <c:tickLblPos val="nextTo"/>
        <c:crossAx val="501856760"/>
        <c:crosses val="autoZero"/>
        <c:crossBetween val="between"/>
      </c:valAx>
      <c:valAx>
        <c:axId val="501857544"/>
        <c:scaling>
          <c:orientation val="minMax"/>
          <c:max val="5"/>
        </c:scaling>
        <c:delete val="0"/>
        <c:axPos val="r"/>
        <c:numFmt formatCode="0.0" sourceLinked="1"/>
        <c:majorTickMark val="out"/>
        <c:minorTickMark val="none"/>
        <c:tickLblPos val="nextTo"/>
        <c:crossAx val="623598688"/>
        <c:crosses val="max"/>
        <c:crossBetween val="between"/>
      </c:valAx>
      <c:catAx>
        <c:axId val="623598688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501857544"/>
        <c:crosses val="autoZero"/>
        <c:auto val="1"/>
        <c:lblAlgn val="ctr"/>
        <c:lblOffset val="100"/>
        <c:noMultiLvlLbl val="0"/>
      </c:catAx>
    </c:plotArea>
    <c:legend>
      <c:legendPos val="b"/>
      <c:layout/>
      <c:overlay val="0"/>
      <c:txPr>
        <a:bodyPr/>
        <a:lstStyle/>
        <a:p>
          <a:pPr>
            <a:defRPr sz="700">
              <a:latin typeface="Tahoma" pitchFamily="34" charset="0"/>
              <a:cs typeface="Tahoma" pitchFamily="34" charset="0"/>
            </a:defRPr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Akron</Company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Brett Riebau</dc:creator>
  <cp:keywords/>
  <dc:description/>
  <cp:lastModifiedBy>sayre,vickie</cp:lastModifiedBy>
  <cp:revision>2</cp:revision>
  <cp:lastPrinted>2017-10-10T15:41:00Z</cp:lastPrinted>
  <dcterms:created xsi:type="dcterms:W3CDTF">2019-10-15T12:10:00Z</dcterms:created>
  <dcterms:modified xsi:type="dcterms:W3CDTF">2019-10-15T12:10:00Z</dcterms:modified>
</cp:coreProperties>
</file>